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FTAI INFRASTRUCTURE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001-41370</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87-4407005</w:t>
      </w:r>
    </w:p>
    <w:p>
      <w:pPr>
        <w:spacing w:after="0" w:line="3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(I.R.S. Employer Identification Number)</w:t>
      </w:r>
    </w:p>
    <w:p>
      <w:pPr>
        <w:spacing w:after="0" w:line="9" w:lineRule="exact"/>
        <w:rPr>
          <w:sz w:val="24"/>
          <w:szCs w:val="24"/>
          <w:color w:val="auto"/>
        </w:rPr>
      </w:pPr>
    </w:p>
    <w:p>
      <w:pPr>
        <w:sectPr>
          <w:pgSz w:w="11900" w:h="16838" w:orient="portrait"/>
          <w:cols w:equalWidth="0" w:num="3">
            <w:col w:w="3880" w:space="720"/>
            <w:col w:w="2500" w:space="720"/>
            <w:col w:w="3420"/>
          </w:cols>
          <w:pgMar w:left="320" w:top="516"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1345 Avenue of the Americas, 45th Floor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10105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798-6100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516" w:right="339" w:bottom="1440" w:gutter="0" w:footer="0" w:header="0"/>
          <w:type w:val="continuous"/>
        </w:sectPr>
      </w:pPr>
    </w:p>
    <w:p>
      <w:pPr>
        <w:spacing w:after="0" w:line="223"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i w:val="1"/>
          <w:iCs w:val="1"/>
          <w:color w:val="auto"/>
        </w:rPr>
        <w:t>Title of each class</w:t>
      </w:r>
    </w:p>
    <w:p>
      <w:pPr>
        <w:spacing w:after="0" w:line="29"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7"/>
          <w:szCs w:val="17"/>
          <w:color w:val="auto"/>
        </w:rPr>
        <w:t>Common Stock, par value $0.01 per share</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i w:val="1"/>
          <w:iCs w:val="1"/>
          <w:color w:val="auto"/>
        </w:rPr>
        <w:t>Trading Symbol</w:t>
      </w:r>
    </w:p>
    <w:p>
      <w:pPr>
        <w:spacing w:after="0" w:line="2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FIP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-3042285</wp:posOffset>
            </wp:positionH>
            <wp:positionV relativeFrom="paragraph">
              <wp:posOffset>203200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7"/>
          <w:szCs w:val="17"/>
          <w:i w:val="1"/>
          <w:iCs w:val="1"/>
          <w:color w:val="auto"/>
        </w:rPr>
        <w:t>Name of each exchange on which registered</w:t>
      </w:r>
    </w:p>
    <w:p>
      <w:pPr>
        <w:spacing w:after="0" w:line="4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The Nasdaq Global Select Market</w:t>
      </w:r>
    </w:p>
    <w:p>
      <w:pPr>
        <w:spacing w:after="0" w:line="200" w:lineRule="exact"/>
        <w:rPr>
          <w:sz w:val="24"/>
          <w:szCs w:val="24"/>
          <w:color w:val="auto"/>
        </w:rPr>
      </w:pPr>
    </w:p>
    <w:p>
      <w:pPr>
        <w:sectPr>
          <w:pgSz w:w="11900" w:h="16838" w:orient="portrait"/>
          <w:cols w:equalWidth="0" w:num="3">
            <w:col w:w="4080" w:space="720"/>
            <w:col w:w="1820" w:space="720"/>
            <w:col w:w="3900"/>
          </w:cols>
          <w:pgMar w:left="320" w:top="516" w:right="339" w:bottom="1440" w:gutter="0" w:footer="0" w:header="0"/>
          <w:type w:val="continuous"/>
        </w:sectPr>
      </w:pPr>
    </w:p>
    <w:p>
      <w:pPr>
        <w:spacing w:after="0" w:line="223"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4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KPMG LLP</w:t>
      </w:r>
    </w:p>
    <w:p>
      <w:pPr>
        <w:spacing w:after="0" w:line="227"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18"/>
          <w:szCs w:val="18"/>
          <w:color w:val="auto"/>
        </w:rPr>
        <w:t>On and effective April 15, 2026, the Audit Committee (the “Audit Committee”) of the Board of Directors (the “Board”) of FTAI Infrastructure Inc. (the “Company”) appointed KPMG LLP (“KPMG”) as the Company’s independent registered public accounting firm for the fiscal year ending December 31, 2026, and has also reviewed and approved the scope and nature of the services to be performed for the Company by KPMG. The engagement of KPMG was ratified by the Board.</w:t>
      </w:r>
    </w:p>
    <w:p>
      <w:pPr>
        <w:spacing w:after="0" w:line="180"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2025 and 2024, and the subsequent interim period through April 15, 2026, neither the Company nor anyone on its behalf has consulted with KPMG regarding: (i) the application of accounting principles to a specific transaction, either completed or proposed, or the type of audit opinion that might be rendered on the Company’s financial statements, and neither a written report nor oral advice was provided to the Company that KPMG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Dismissal of Ernst &amp; Young LLP</w:t>
      </w:r>
    </w:p>
    <w:p>
      <w:pPr>
        <w:spacing w:after="0" w:line="227" w:lineRule="exact"/>
        <w:rPr>
          <w:sz w:val="20"/>
          <w:szCs w:val="20"/>
          <w:color w:val="auto"/>
        </w:rPr>
      </w:pPr>
    </w:p>
    <w:p>
      <w:pPr>
        <w:ind w:right="280" w:firstLine="360"/>
        <w:spacing w:after="0" w:line="282" w:lineRule="auto"/>
        <w:rPr>
          <w:sz w:val="20"/>
          <w:szCs w:val="20"/>
          <w:color w:val="auto"/>
        </w:rPr>
      </w:pPr>
      <w:r>
        <w:rPr>
          <w:rFonts w:ascii="Times New Roman" w:cs="Times New Roman" w:eastAsia="Times New Roman" w:hAnsi="Times New Roman"/>
          <w:sz w:val="18"/>
          <w:szCs w:val="18"/>
          <w:color w:val="auto"/>
        </w:rPr>
        <w:t>On April 15, 2026, in connection with the appointment of KPMG, the Company, based on the approval of the Audit Committee, dismissed Ernst &amp; Young LLP (“EY”), which served as the Company’s independent registered public accounting firm since 2021.</w:t>
      </w:r>
    </w:p>
    <w:p>
      <w:pPr>
        <w:spacing w:after="0" w:line="162" w:lineRule="exact"/>
        <w:rPr>
          <w:sz w:val="20"/>
          <w:szCs w:val="20"/>
          <w:color w:val="auto"/>
        </w:rPr>
      </w:pPr>
    </w:p>
    <w:p>
      <w:pPr>
        <w:ind w:right="120" w:firstLine="360"/>
        <w:spacing w:after="0" w:line="256" w:lineRule="auto"/>
        <w:rPr>
          <w:sz w:val="20"/>
          <w:szCs w:val="20"/>
          <w:color w:val="auto"/>
        </w:rPr>
      </w:pPr>
      <w:r>
        <w:rPr>
          <w:rFonts w:ascii="Times New Roman" w:cs="Times New Roman" w:eastAsia="Times New Roman" w:hAnsi="Times New Roman"/>
          <w:sz w:val="18"/>
          <w:szCs w:val="18"/>
          <w:color w:val="auto"/>
        </w:rPr>
        <w:t>EY’s audit reports on the Company’s consolidated financial statements as of and for each of the fiscal years ended December 31, 2025 and 2024, did not contain an adverse opinion or a disclaimer of opinion, nor were they qualified or modified as to uncertainty, audit scope, or accounting principles. Furthermore, during each of the fiscal years ended December 31, 2025 and 2024, and the subsequent interim period through April 15, 2026: (i) there were no “disagreements,” as that term is defined in Item 304(a)(1)(iv) of Regulation S-K, between the Company and EY on any matter of accounting principles or practices, financial statement disclosure or auditing scope or procedure, which disagreements, if not resolved to the satisfaction of EY, would have caused EY to make reference thereto in their reports; and (ii) no “reportable events” within the meaning of Item 304(a)(1)(v) of Regulation S-K.</w:t>
      </w:r>
    </w:p>
    <w:p>
      <w:pPr>
        <w:spacing w:after="0" w:line="187" w:lineRule="exact"/>
        <w:rPr>
          <w:sz w:val="20"/>
          <w:szCs w:val="20"/>
          <w:color w:val="auto"/>
        </w:rPr>
      </w:pPr>
    </w:p>
    <w:p>
      <w:pPr>
        <w:ind w:right="200" w:firstLine="360"/>
        <w:spacing w:after="0" w:line="266" w:lineRule="auto"/>
        <w:rPr>
          <w:sz w:val="20"/>
          <w:szCs w:val="20"/>
          <w:color w:val="auto"/>
        </w:rPr>
      </w:pPr>
      <w:r>
        <w:rPr>
          <w:rFonts w:ascii="Times New Roman" w:cs="Times New Roman" w:eastAsia="Times New Roman" w:hAnsi="Times New Roman"/>
          <w:sz w:val="18"/>
          <w:szCs w:val="18"/>
          <w:color w:val="auto"/>
        </w:rPr>
        <w:t>The Company provided EY with a copy of the above disclosures and requested that EY furnish the Company a letter addressed to the Securities and Exchange Commission stating whether or not it agrees with the above statements. A copy of such letter, dated April 16, 2026, is filed as Exhibit 16.1 hereto.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20" w:type="dxa"/>
            <w:vAlign w:val="bottom"/>
          </w:tcPr>
          <w:p>
            <w:pPr>
              <w:spacing w:after="0"/>
              <w:rPr>
                <w:sz w:val="18"/>
                <w:szCs w:val="18"/>
                <w:color w:val="auto"/>
              </w:rPr>
            </w:pPr>
          </w:p>
        </w:tc>
      </w:tr>
      <w:tr>
        <w:trPr>
          <w:trHeight w:val="245"/>
        </w:trPr>
        <w:tc>
          <w:tcPr>
            <w:tcW w:w="40" w:type="dxa"/>
            <w:vAlign w:val="bottom"/>
          </w:tcPr>
          <w:p>
            <w:pPr>
              <w:spacing w:after="0"/>
              <w:rPr>
                <w:sz w:val="21"/>
                <w:szCs w:val="21"/>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120" w:type="dxa"/>
            <w:vAlign w:val="bottom"/>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00" w:type="dxa"/>
            <w:vAlign w:val="bottom"/>
            <w:tcBorders>
              <w:top w:val="single" w:sz="8" w:color="auto"/>
            </w:tcBorders>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16.</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5"/>
                <w:szCs w:val="15"/>
                <w:color w:val="auto"/>
              </w:rPr>
            </w:pPr>
          </w:p>
        </w:tc>
        <w:tc>
          <w:tcPr>
            <w:tcW w:w="101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Letter from Ernst &amp; Young LLP, dated April 16, 2026.</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237"/>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r>
        <w:trPr>
          <w:trHeight w:val="398"/>
        </w:trPr>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April 17, 2026</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FTAI INFRASTRUCTURE INC.</w:t>
            </w:r>
          </w:p>
        </w:tc>
      </w:tr>
      <w:tr>
        <w:trPr>
          <w:trHeight w:val="241"/>
        </w:trPr>
        <w:tc>
          <w:tcPr>
            <w:tcW w:w="562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J. Nicholson</w:t>
            </w:r>
          </w:p>
        </w:tc>
      </w:tr>
      <w:tr>
        <w:trPr>
          <w:trHeight w:val="198"/>
        </w:trPr>
        <w:tc>
          <w:tcPr>
            <w:tcW w:w="5620" w:type="dxa"/>
            <w:vAlign w:val="bottom"/>
          </w:tcPr>
          <w:p>
            <w:pPr>
              <w:spacing w:after="0"/>
              <w:rPr>
                <w:sz w:val="17"/>
                <w:szCs w:val="17"/>
                <w:color w:val="auto"/>
              </w:rPr>
            </w:pPr>
          </w:p>
        </w:tc>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Kenneth J. Nicholson</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533"/>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16.1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[ERNST &amp; YOUNG LLP LETTERHEAD]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have read Item 4.01 of Form 8-K dated April 16, 2026, of FTAI Infrastructure Inc. and are in agreement with the statements contained in the third, fourth and fifth paragraphs therein. We have no basis to agree or disagree with other statements of the registrant contained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2026-04-17T07:02:53Z</dcterms:created>
  <dcterms:modified xsi:type="dcterms:W3CDTF">2026-04-17T07:02:53Z</dcterms:modified>
</cp:coreProperties>
</file>