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7,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FTAI INFRASTRUCTURE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668" w:type="dxa"/>
        <w:jc w:val="left"/>
        <w:tblInd w:w="0" w:type="dxa"/>
        <w:tblLayout w:type="fixed"/>
        <w:tblCellMar>
          <w:top w:w="28" w:type="dxa"/>
          <w:left w:w="28" w:type="dxa"/>
          <w:bottom w:w="28" w:type="dxa"/>
          <w:right w:w="28" w:type="dxa"/>
        </w:tblCellMar>
      </w:tblPr>
      <w:tblGrid>
        <w:gridCol w:w="992"/>
        <w:gridCol w:w="872"/>
        <w:gridCol w:w="880"/>
        <w:gridCol w:w="792"/>
        <w:gridCol w:w="792"/>
        <w:gridCol w:w="800"/>
        <w:gridCol w:w="1034"/>
        <w:gridCol w:w="1034"/>
        <w:gridCol w:w="1472"/>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001-41370</w:t>
            </w:r>
          </w:p>
        </w:tc>
        <w:tc>
          <w:tcPr>
            <w:tcW w:w="354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87-4407005</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1345 Avenue of the Americas, 45th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10105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(212) 798-6100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749" w:type="dxa"/>
        <w:jc w:val="left"/>
        <w:tblInd w:w="0" w:type="dxa"/>
        <w:tblLayout w:type="fixed"/>
        <w:tblCellMar>
          <w:top w:w="28" w:type="dxa"/>
          <w:left w:w="28" w:type="dxa"/>
          <w:bottom w:w="28" w:type="dxa"/>
          <w:right w:w="28" w:type="dxa"/>
        </w:tblCellMar>
      </w:tblPr>
      <w:tblGrid>
        <w:gridCol w:w="1266"/>
        <w:gridCol w:w="1114"/>
        <w:gridCol w:w="1114"/>
        <w:gridCol w:w="502"/>
        <w:gridCol w:w="502"/>
        <w:gridCol w:w="502"/>
        <w:gridCol w:w="1098"/>
        <w:gridCol w:w="1098"/>
        <w:gridCol w:w="1553"/>
      </w:tblGrid>
      <w:tr>
        <w:trPr/>
        <w:tc>
          <w:tcPr>
            <w:tcW w:w="126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8749"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Trading Symbol</w:t>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FIP</w:t>
            </w:r>
          </w:p>
        </w:tc>
        <w:tc>
          <w:tcPr>
            <w:tcW w:w="37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7, 2026, FTAI Infrastructure Inc. (“FIP” or the “Company”) issued a press release announcing the Company’s results for its fiscal quarter ended March 31, 2026. A copy of the Company’s press release is attached to this Current Report on Form 8-K (the “Current Report”) as Exhibit 99.1 and is incorporated herein solely for purposes of this Item 2.02 disclosure.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9"/>
        <w:gridCol w:w="455"/>
        <w:gridCol w:w="457"/>
        <w:gridCol w:w="109"/>
        <w:gridCol w:w="109"/>
        <w:gridCol w:w="109"/>
        <w:gridCol w:w="2463"/>
        <w:gridCol w:w="2463"/>
        <w:gridCol w:w="3521"/>
      </w:tblGrid>
      <w:tr>
        <w:trPr/>
        <w:tc>
          <w:tcPr>
            <w:tcW w:w="51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3521"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4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w:anchor="fip33120268-kxexhibit991.htm">
              <w:r>
                <w:rPr>
                  <w:rStyle w:val="InternetLink"/>
                  <w:rFonts w:ascii="Times New Roman;serif" w:hAnsi="Times New Roman;serif"/>
                  <w:b w:val="false"/>
                  <w:color w:val="0E32E1"/>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Press release, dated May 7, 2026, issued by FTAI Infrastructure Inc.</w:t>
            </w:r>
          </w:p>
        </w:tc>
      </w:tr>
      <w:tr>
        <w:trPr/>
        <w:tc>
          <w:tcPr>
            <w:tcW w:w="14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7"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Dated: May 7, 2026</w:t>
      </w:r>
    </w:p>
    <w:p>
      <w:pPr>
        <w:pStyle w:val="TextBody"/>
        <w:bidi w:val="0"/>
        <w:spacing w:before="120" w:after="283"/>
        <w:jc w:val="left"/>
        <w:rPr/>
      </w:pPr>
      <w:r>
        <w:rPr/>
      </w:r>
    </w:p>
    <w:tbl>
      <w:tblPr>
        <w:tblW w:w="3225" w:type="dxa"/>
        <w:jc w:val="right"/>
        <w:tblInd w:w="0" w:type="dxa"/>
        <w:tblLayout w:type="fixed"/>
        <w:tblCellMar>
          <w:top w:w="28" w:type="dxa"/>
          <w:left w:w="28" w:type="dxa"/>
          <w:bottom w:w="28" w:type="dxa"/>
          <w:right w:w="28" w:type="dxa"/>
        </w:tblCellMar>
      </w:tblPr>
      <w:tblGrid>
        <w:gridCol w:w="1033"/>
        <w:gridCol w:w="908"/>
        <w:gridCol w:w="1284"/>
      </w:tblGrid>
      <w:tr>
        <w:trPr/>
        <w:tc>
          <w:tcPr>
            <w:tcW w:w="103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FTAI INFRASTRUCTURE INC.</w:t>
            </w:r>
          </w:p>
        </w:tc>
      </w:tr>
      <w:tr>
        <w:trPr/>
        <w:tc>
          <w:tcPr>
            <w:tcW w:w="32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Kenneth J. Nicholson</w:t>
            </w:r>
          </w:p>
        </w:tc>
      </w:tr>
      <w:tr>
        <w:trPr/>
        <w:tc>
          <w:tcPr>
            <w:tcW w:w="32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Kenneth J. Nicholson</w:t>
            </w:r>
          </w:p>
        </w:tc>
      </w:tr>
      <w:tr>
        <w:trPr/>
        <w:tc>
          <w:tcPr>
            <w:tcW w:w="32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2381250" cy="6286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381250" cy="628650"/>
                    </a:xfrm>
                    <a:prstGeom prst="rect">
                      <a:avLst/>
                    </a:prstGeom>
                  </pic:spPr>
                </pic:pic>
              </a:graphicData>
            </a:graphic>
          </wp:inline>
        </w:drawing>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PRESS RELEASE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FTAI Infrastructure Inc. Reports First Quarter 2026 Results, Declares Dividend of $0.03 per Share of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YORK, May 7, 2026 (GLOBE NEWSWIRE) -- FTAI Infrastructure Inc. (NASDAQ:FIP) (the “Company” or “FTAI Infrastructure”) today reported financial results for the first quarter 2026. The Company’s consolidated comparative financial statements and key performance measures are attached as an exhibit to this press release.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Business Highlights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Announced agreement on April 30, 2026, to sell Long Ridge to MARA Holdings, Inc. for $1.52 billion transaction value.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At closing of the sale, FIP will immediately eliminate $1.16 billion of Long Ridge debt and use net proceeds to repay approximately $300 million of debt at the FIP parent level, resulting in lower interest expense and higher free cash flow going forward.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Reported $70.6 million of Adjusted EBITDA for the first quarter of 2026.</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Long Ridge first quarter results were impacted by a 25-day planned outage of the power plant for scheduled maintenance; excluding the impact of the outage, Adjusted EBITDA for FIP would have exceeded $80 million for Q1 and would have represented a new quarterly record.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Strong performance from rail segment and Jefferson, while Repauno phase two expansion continued on plan for early 2027 operational commencement.</w: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37"/>
        <w:gridCol w:w="2454"/>
        <w:gridCol w:w="2471"/>
        <w:gridCol w:w="362"/>
        <w:gridCol w:w="1529"/>
        <w:gridCol w:w="186"/>
        <w:gridCol w:w="109"/>
        <w:gridCol w:w="157"/>
      </w:tblGrid>
      <w:tr>
        <w:trPr/>
        <w:tc>
          <w:tcPr>
            <w:tcW w:w="2937"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3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86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Selected Financial Results</w:t>
            </w:r>
          </w:p>
        </w:tc>
        <w:tc>
          <w:tcPr>
            <w:tcW w:w="207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Q1’26</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Stockholders, Before Series B Preferred Stock Dividend and Loss on Extinguishment of Preferred Stock</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(150,172)</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 of Common Stock</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Adjusted EBITDA - Four core segments </w:t>
            </w:r>
            <w:r>
              <w:rPr>
                <w:rFonts w:ascii="Times New Roman;serif" w:hAnsi="Times New Roman;serif"/>
                <w:b w:val="false"/>
                <w:color w:val="000000"/>
                <w:sz w:val="13"/>
              </w:rPr>
              <w:t>(1)(2)</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62"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(1)For definitions and reconciliations of non-GAAP measures, please refer to the exhibit to this press release.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(2)Excludes Sustainability and Energy Transition and Corporate and Other segments.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First Quarter 2026 Dividends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On May 7, 2026, the Company’s Board of Directors (the “Board”) declared a cash dividend on its common stock of $0.03 per share for the quarter ended March 31, 2026, payable on June 12, 2026 to the holders of record on May 18,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For additional information that management believes to be useful for investors, please refer to the presentation posted on the Investor Relations section of the Company’s website, www.fipinc.com, and the Company’s Quarterly Report on Form 10-Q, when available on the Company’s website. Nothing on the Company’s website is included or incorporated by reference herein.</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In addition, management will host a conference call on Friday, May 8, 2026 at 8:00 A.M. Eastern Time. The conference call may be accessed by registering via the following link https://dpregister.com/sreg/10207794/103afb4fca0. Once registered, participants will receive a dial-in and unique pin to access the call.</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 simultaneous webcast of the conference call will be available to the public on a listen-only basis at https://www.fipinc.com. Please allow extra time prior to the call to visit the site and download the necessary software required to listen to the internet broadcast.</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 replay of the conference call will be available after 11:30 A.M. on Friday, May 8, 2026 through 11:30 A.M. on Friday, May 15, 2026 on https://ir.fipinc.com/news-events/events.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on, or accessible through, any websites included in this press release is not incorporated by reference into, and should not be considered a part of, this press release.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About FTAI Infrastructure Inc.</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FTAI Infrastructure primarily invests in critical infrastructure with high barriers to entry across the rail, ports and terminals, and power and gas sectors that, on a combined basis, generate strong and stable cash flows with the potential for earnings growth and asset appreciation. FTAI Infrastructure is externally managed by an affiliate of Fortress Investment Group LLC, a leading, diversified global investment firm.</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Certain statements in this press release may constitute forward-looking statements within the meaning of the Private Securities Litigation Reform Act of 1995. These statements are based on management's current expectations and beliefs and are subject to a number of trends and uncertainties that could cause actual results to differ materially from those described in the forward-looking statements, many of which are beyond the Company’s control. The Company can give no assurance that its expectations will be attained and such differences may be material. Accordingly, you should not place undue reliance on any forward-looking statements contained in this press release. For a discussion of some of the risks and important factors that could affect such forward-looking statements, see the sections entitled “Risk Factors” and “Management’s Discussion and Analysis of Financial Condition and Results of Operations” in the Company’s most recent Annual Report on Form 10-K and Quarterly Reports on Form 10-Q, which are available on the Company’s website (www.fipinc.com). In addition, new risks and uncertainties emerge from time to time, and it is not possible for the Company to predict or assess the impact of every factor that may cause its actual results to differ from those contained in any forward-looking statements. Such forward-looking statements speak only as of the date of this press release. The Company expressly disclaims any obligation to release publicly any updates or revisions to any forward-looking statements contained herein to reflect any change in the Company's expectations with regard thereto or change in events, conditions or circumstances on which any statement is based. This release shall not constitute an offer to sell or the solicitation of an offer to buy any securities.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For further information, please contact: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Alan Andreini</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FTAI Infrastructure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(646) 734-9414</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aandreini@ftaiaviation.com</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FTAI INFRASTRUCTURE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2562"/>
        <w:gridCol w:w="2122"/>
        <w:gridCol w:w="2098"/>
        <w:gridCol w:w="240"/>
        <w:gridCol w:w="961"/>
        <w:gridCol w:w="110"/>
        <w:gridCol w:w="110"/>
        <w:gridCol w:w="110"/>
        <w:gridCol w:w="110"/>
        <w:gridCol w:w="241"/>
        <w:gridCol w:w="945"/>
        <w:gridCol w:w="110"/>
        <w:gridCol w:w="109"/>
        <w:gridCol w:w="109"/>
        <w:gridCol w:w="109"/>
        <w:gridCol w:w="159"/>
      </w:tblGrid>
      <w:tr>
        <w:trPr/>
        <w:tc>
          <w:tcPr>
            <w:tcW w:w="2562"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188,364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120,394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transaction expenses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6,820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 and incentive allocation to affiliate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50,691</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185,551</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earnings of unconsolidated entities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assets, net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modification or extinguishment of debt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(45,914)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(82,487)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(expense) income</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(126,501)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(123,688)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(127,211)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in consolidated subsidiaries - common stockholders</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(14,260)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dividends and accretion on redeemable non-controlling interests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37,221</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 and accretion of redeemable preferred stock</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stockholders, before series B preferred stock dividend and loss on extinguishment of preferred stock</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(150,172)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common stockholders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(154,525)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earnings per share:</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116,689,474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114,101,860 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116,689,474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122,758,859 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FTAI INFRASTRUCTURE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93"/>
        <w:gridCol w:w="2147"/>
        <w:gridCol w:w="2074"/>
        <w:gridCol w:w="214"/>
        <w:gridCol w:w="1010"/>
        <w:gridCol w:w="110"/>
        <w:gridCol w:w="109"/>
        <w:gridCol w:w="109"/>
        <w:gridCol w:w="109"/>
        <w:gridCol w:w="224"/>
        <w:gridCol w:w="1038"/>
        <w:gridCol w:w="168"/>
      </w:tblGrid>
      <w:tr>
        <w:trPr/>
        <w:tc>
          <w:tcPr>
            <w:tcW w:w="2893"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37,860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189,571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97,368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72,778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397,577</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484,011 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equipment, net</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36,178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149,274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4,576,463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4,581,771 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21,726</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42,170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365,703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365,703 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99,441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5,688,532</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5,748,661 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251,870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25,433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11,090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50,290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23,039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361,722</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409,997 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3,787,717</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3,708,735 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85,484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158,648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82,506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301,831</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90,562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4,868,470</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4,804,678 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Redeemable convertible preferred stock Series B</w:t>
            </w:r>
            <w:r>
              <w:rPr>
                <w:color w:val="000000"/>
              </w:rPr>
              <w:t xml:space="preserve"> </w:t>
            </w:r>
            <w:r>
              <w:rPr>
                <w:rFonts w:ascii="Times New Roman;serif" w:hAnsi="Times New Roman;serif"/>
                <w:b w:val="false"/>
                <w:color w:val="000000"/>
                <w:sz w:val="20"/>
              </w:rPr>
              <w:t>($0.01 par value per share; 200,000,000 total preferred shares authorized; 160,000 and 160,000 Series B shares issued and outstanding as of March 31, 2026 and December 31, 2025, respectively; redemption amount of $192.0 million and $192.0 million at March 31, 2026 and December 31, 2025, respectively)</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152,642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Redeemable preferred stock Series A RailCo - Non-controlling interest</w:t>
            </w:r>
            <w:r>
              <w:rPr>
                <w:color w:val="000000"/>
              </w:rPr>
              <w:t xml:space="preserve"> </w:t>
            </w:r>
            <w:r>
              <w:rPr>
                <w:rFonts w:ascii="Times New Roman;serif" w:hAnsi="Times New Roman;serif"/>
                <w:b w:val="false"/>
                <w:color w:val="000000"/>
                <w:sz w:val="20"/>
              </w:rPr>
              <w:t>(zero par value per share; 1,000,000 total preferred shares authorized; 1,000,000 Series A - RailCo shares issued and outstanding as of March 31, 2026 and December 31, 2025; redemption amount of $1.4 billion and $1.4 billion at March 31, 2026 and December 31, 2025, respectively)</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970,516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693"/>
        <w:gridCol w:w="2254"/>
        <w:gridCol w:w="2277"/>
        <w:gridCol w:w="211"/>
        <w:gridCol w:w="991"/>
        <w:gridCol w:w="109"/>
        <w:gridCol w:w="109"/>
        <w:gridCol w:w="109"/>
        <w:gridCol w:w="109"/>
        <w:gridCol w:w="211"/>
        <w:gridCol w:w="976"/>
        <w:gridCol w:w="156"/>
      </w:tblGrid>
      <w:tr>
        <w:trPr/>
        <w:tc>
          <w:tcPr>
            <w:tcW w:w="2693"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per share; 2,000,000,000 shares authorized; 118,163,555 and 116,294,461 shares issued and outstanding as of March 31,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 in capital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589,593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(625,943)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(122,463)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equity of consolidated subsidiaries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(303,096)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preferred stock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5,688,532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5,748,661 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FTAI INFRASTRUCTURE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unless otherwise noted)</w:t>
      </w:r>
    </w:p>
    <w:tbl>
      <w:tblPr>
        <w:tblW w:w="10205" w:type="dxa"/>
        <w:jc w:val="center"/>
        <w:tblInd w:w="0" w:type="dxa"/>
        <w:tblLayout w:type="fixed"/>
        <w:tblCellMar>
          <w:top w:w="28" w:type="dxa"/>
          <w:left w:w="28" w:type="dxa"/>
          <w:bottom w:w="28" w:type="dxa"/>
          <w:right w:w="28" w:type="dxa"/>
        </w:tblCellMar>
      </w:tblPr>
      <w:tblGrid>
        <w:gridCol w:w="2694"/>
        <w:gridCol w:w="2338"/>
        <w:gridCol w:w="2354"/>
        <w:gridCol w:w="217"/>
        <w:gridCol w:w="924"/>
        <w:gridCol w:w="111"/>
        <w:gridCol w:w="111"/>
        <w:gridCol w:w="111"/>
        <w:gridCol w:w="111"/>
        <w:gridCol w:w="217"/>
        <w:gridCol w:w="852"/>
        <w:gridCol w:w="165"/>
      </w:tblGrid>
      <w:tr>
        <w:trPr/>
        <w:tc>
          <w:tcPr>
            <w:tcW w:w="2694"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(127,211)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(earnings) of unconsolidated entities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subsidiaries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modification or extinguishment of debt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45,914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10,978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50,691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deferred income taxes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bond discount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12,155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comprehensive income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(10,236)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w:t>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receivable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assets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 and accrued liabilities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(38,458)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Derivative liabilities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liabilities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(69,377)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(85,651)</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entities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 net of cash acquired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(46,476)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investor loan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8,901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investing activities</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(44,755)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164,299 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 net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1,309,459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(1,320,223)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financing costs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financing obligation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50,000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financing obligation</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 common stock</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 redeemable preferred stock</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 redeemable preferred stock - NCI</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equity-based compensation</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15,617</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increase in cash and cash equivalents and restricted cash and cash equivalents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(98,515)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and cash equivalents, beginning of period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325,946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147,296 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and restricted cash and cash equivalents, end of period</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227,431</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223,407 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Performance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Chief Operating Decision Maker (“CODM”) utilizes Adjusted EBITDA as our key performance measure.</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Adjusted EBITDA provides the CODM with the information necessary to assess operational performance, as well as make resource and allocation decisions. Adjusted EBITDA is defined as net income (loss) attributable to stockholders, before series B preferred stock dividend and loss on extinguishment of preferred stock, adjusted (a) to exclude the impact of provision for (benefit from) income taxes, equity-based compensation expense, acquisition and transaction expenses, gains (losses) on the modification or extinguishment of debt and capital lease obligations, changes in fair value of non-hedge derivative instruments, asset impairment charges, incentive allocations, depreciation and amortization expense, interest expense, interest and other costs on pension and other pension expense benefits (“OPEB”) liabilities, dividends and accretion of redeemable preferred stock, and other non-recurring items, (b) to include the impact of our pro-rata share of Adjusted EBITDA from unconsolidated entities, and (c) to exclude the impact of equity in earnings (losses) of unconsolidated entities and the non-controlling share of Adjusted EBITDA.</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net (loss) income attributable to stockholders, before series B preferred stock dividend and loss on extinguishment of preferred stock to Adjusted EBITDA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1915"/>
        <w:gridCol w:w="1686"/>
        <w:gridCol w:w="1698"/>
        <w:gridCol w:w="213"/>
        <w:gridCol w:w="877"/>
        <w:gridCol w:w="110"/>
        <w:gridCol w:w="110"/>
        <w:gridCol w:w="110"/>
        <w:gridCol w:w="110"/>
        <w:gridCol w:w="213"/>
        <w:gridCol w:w="837"/>
        <w:gridCol w:w="110"/>
        <w:gridCol w:w="109"/>
        <w:gridCol w:w="109"/>
        <w:gridCol w:w="109"/>
        <w:gridCol w:w="211"/>
        <w:gridCol w:w="864"/>
        <w:gridCol w:w="109"/>
        <w:gridCol w:w="109"/>
        <w:gridCol w:w="109"/>
        <w:gridCol w:w="109"/>
        <w:gridCol w:w="109"/>
        <w:gridCol w:w="109"/>
        <w:gridCol w:w="160"/>
      </w:tblGrid>
      <w:tr>
        <w:trPr/>
        <w:tc>
          <w:tcPr>
            <w:tcW w:w="191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5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stockholders, before series B preferred stock dividend and loss on extinguishment of preferred stock</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(150,172)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Provision for (benefit from) income taxes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Equity-based compensation expense</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10,978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Acquisition and transaction expenses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6,820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Losses on the modification or extinguishment of debt and capital lease obligations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45,914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Changes in fair value of non-hedge derivative instruments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Asset impairment charges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Incentive allocations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Depreciation and amortization expense </w:t>
            </w:r>
            <w:r>
              <w:rPr>
                <w:rFonts w:ascii="Times New Roman;serif" w:hAnsi="Times New Roman;serif"/>
                <w:b w:val="false"/>
                <w:color w:val="000000"/>
                <w:sz w:val="13"/>
              </w:rPr>
              <w:t>(1)</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41,688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82,487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Pro-rata share of Adjusted EBITDA from unconsolidated entities </w:t>
            </w:r>
            <w:r>
              <w:rPr>
                <w:rFonts w:ascii="Times New Roman;serif" w:hAnsi="Times New Roman;serif"/>
                <w:b w:val="false"/>
                <w:color w:val="000000"/>
                <w:sz w:val="13"/>
              </w:rPr>
              <w:t>(2)</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Dividends and accretion of redeemable preferred stock</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37,221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and other costs on pension and OPEB liabilities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Other non-recurring items </w:t>
            </w:r>
            <w:r>
              <w:rPr>
                <w:rFonts w:ascii="Times New Roman;serif" w:hAnsi="Times New Roman;serif"/>
                <w:b w:val="false"/>
                <w:color w:val="000000"/>
                <w:sz w:val="13"/>
              </w:rPr>
              <w:t>(3)</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Equity in losses (earnings) of unconsolidated entities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Non-controlling share of Adjusted EBITDA </w:t>
            </w:r>
            <w:r>
              <w:rPr>
                <w:rFonts w:ascii="Times New Roman;serif" w:hAnsi="Times New Roman;serif"/>
                <w:b w:val="false"/>
                <w:color w:val="000000"/>
                <w:sz w:val="13"/>
              </w:rPr>
              <w:t>(4)</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70,592</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155,219 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the following items for the three months ended March 31, 2026 and 2025: (i) depreciation and amortization expense of $50,691 and $25,012, (ii) capitalized contract costs amortization of $1,233 and $1,233 and (iii) amortization of other comprehensive income of $(10,236) and $(1,588), respectively.</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the following items for the three months ended March 31, 2026 and 2025: (i) net (loss) income of $(518) and $6,578, (ii) interest expense of $— and $7,648, (iii) depreciation and amortization expense of $— and $2,884, (iv) acquisition and transaction expenses of $— and $201, (v) changes in fair value of non-hedge derivative instruments of $— and $(12,822), (vi) equity method basis adjustments of $— and $10 and (vii) other non-recurring items of $— and $1, respectively.</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the following items for the three months ended March 31, 2026: (i) Railroad severance and integration expenses of $1,471 and (ii) unrealized loss on investment of $1,190. Includes the following items for the three months ended March 31, 2025: (i) incidental utility rebillings of $650 and (ii) loss on inventory heel of $385.</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(4)Includes the following items for the three months ended March 31, 2026 and 2025: (i) equity-based compensation of $1,772 and $138, (ii) provision for income taxes of $66 and $104, (iii) interest expense of $4,052 and $3,940, (iv) depreciation and amortization expense of $3,331 and $3,069, (v) acquisition and transaction expenses of $15 and $1, (vi) interest and other costs on pension and OPEB liabilities of $— and $(2), (vii) asset impairment charges of $— and $19,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(viii) losses on the modification or extinguishment of debt of $1,489 and $2, (ix) dividends and accretion of redeemable preferred stock of $175 and $— and (x) other non-recurring items of $6 and $61, respectively.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sets forth a reconciliation of net loss attributable to stockholders, before series B preferred stock dividend and loss on extinguishment of preferred stock to Adjusted EBITDA for our four core segments for the three months ended March 31, 2026:</w:t>
      </w:r>
    </w:p>
    <w:tbl>
      <w:tblPr>
        <w:tblW w:w="10205" w:type="dxa"/>
        <w:jc w:val="left"/>
        <w:tblInd w:w="0" w:type="dxa"/>
        <w:tblLayout w:type="fixed"/>
        <w:tblCellMar>
          <w:top w:w="28" w:type="dxa"/>
          <w:left w:w="28" w:type="dxa"/>
          <w:bottom w:w="28" w:type="dxa"/>
          <w:right w:w="28" w:type="dxa"/>
        </w:tblCellMar>
      </w:tblPr>
      <w:tblGrid>
        <w:gridCol w:w="1186"/>
        <w:gridCol w:w="1044"/>
        <w:gridCol w:w="1051"/>
        <w:gridCol w:w="211"/>
        <w:gridCol w:w="748"/>
        <w:gridCol w:w="109"/>
        <w:gridCol w:w="109"/>
        <w:gridCol w:w="109"/>
        <w:gridCol w:w="109"/>
        <w:gridCol w:w="235"/>
        <w:gridCol w:w="840"/>
        <w:gridCol w:w="121"/>
        <w:gridCol w:w="109"/>
        <w:gridCol w:w="109"/>
        <w:gridCol w:w="109"/>
        <w:gridCol w:w="211"/>
        <w:gridCol w:w="643"/>
        <w:gridCol w:w="109"/>
        <w:gridCol w:w="109"/>
        <w:gridCol w:w="109"/>
        <w:gridCol w:w="109"/>
        <w:gridCol w:w="224"/>
        <w:gridCol w:w="782"/>
        <w:gridCol w:w="115"/>
        <w:gridCol w:w="109"/>
        <w:gridCol w:w="109"/>
        <w:gridCol w:w="109"/>
        <w:gridCol w:w="237"/>
        <w:gridCol w:w="850"/>
        <w:gridCol w:w="181"/>
      </w:tblGrid>
      <w:tr>
        <w:trPr/>
        <w:tc>
          <w:tcPr>
            <w:tcW w:w="118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r>
      <w:tr>
        <w:trPr/>
        <w:tc>
          <w:tcPr>
            <w:tcW w:w="3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Railroad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Repauno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Power and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Four Core Segments</w:t>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attributable to stockholders, before series B preferred stock dividend and loss on extinguishment of preferred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(18,872)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(5,171)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(57,422)</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Provision for (benefit from) income taxes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3,510</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Equity-based compensation expense</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7,253</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10,875</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Acquisition and transaction expenses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2,409</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Losses on the modification or extinguishment of debt and capital lease obligations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6,429</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6,429</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Changes in fair value of non-hedge derivative instruments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558</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Asset impairment charges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Incentive allocations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Depreciation and amortization expense </w:t>
            </w:r>
            <w:r>
              <w:rPr>
                <w:rFonts w:ascii="Times New Roman;serif" w:hAnsi="Times New Roman;serif"/>
                <w:b w:val="false"/>
                <w:color w:val="000000"/>
                <w:sz w:val="13"/>
              </w:rPr>
              <w:t>(1)</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13,220</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6,140</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41,430</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16,235</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23,666</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43,351</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Pro-rata share of Adjusted EBITDA from unconsolidated entities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Dividends and accretion of redeemable preferred stock</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37,221</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and other costs on pension and OPEB liabilities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Other non-recurring items </w:t>
            </w:r>
            <w:r>
              <w:rPr>
                <w:rFonts w:ascii="Times New Roman;serif" w:hAnsi="Times New Roman;serif"/>
                <w:b w:val="false"/>
                <w:color w:val="000000"/>
                <w:sz w:val="13"/>
              </w:rPr>
              <w:t>(2)</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1,471</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Equity in earnings of unconsolidated entities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Non-controlling share of Adjusted EBITDA </w:t>
            </w:r>
            <w:r>
              <w:rPr>
                <w:rFonts w:ascii="Times New Roman;serif" w:hAnsi="Times New Roman;serif"/>
                <w:b w:val="false"/>
                <w:color w:val="000000"/>
                <w:sz w:val="13"/>
              </w:rPr>
              <w:t>(3)</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(10,040)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14,437</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26,411</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78,760</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(1)Jefferson Terminal</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Includes the following items for the three months ended March 31, 2026: (i) depreciation and amortization expense of $11,987 and (ii) capitalized contract costs amortization of $1,233.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Power and Gas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Includes the following items for the three months ended March 31, 2026: (i) depreciation and amortization expense of $16,376 and (ii) amortization of other comprehensive income of $(10,236).</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(2)Railroad</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Includes the following items for the three months ended March 31, 2026: Railroad severance and integration expenses of $1,471.</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(3)Railroad</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Includes the following items for the three months ended March 31, 2026: (i) equity-based compensation expense of $2, (ii) provision for income taxes of $16, (iii) interest expense of $7, (iv) depreciation and amortization expense of $92, (v) acquisition and transaction expenses of $8, (vi) dividends and accretion of redeemable preferred stock of $175, (vii) changes in fair value of non-hedge derivative instruments of $4 and (viii) other non-recurring items of $6.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Jefferson Terminal</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Includes the following items for the three months ended March 31, 2026: (i) equity-based compensation expense of $1,679, (ii) provision for income taxes of $49, (iii) interest expense of $3,761, (iv) depreciation and amortization expense of $3,062 and (v) losses on the modification or extinguishment of debt of $1,489.</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Repauno</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Includes the following items for the three months ended March 31, 2026: (i) equity-based compensation expense of $73, (ii) interest expense of $90 and (iii) depreciation and amortization expense of $119.</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Power and Gas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Includes the following items for the three months ended March 31, 2026: (i) equity-based compensation expense of $13, (ii) interest expense of $194, (iii) depreciation and amortization expense of $50, (iv) acquisition and transaction expenses of $7 and (v) changes in fair value of non-hedge derivative instruments of $(4).</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3562</Words>
  <Characters>20734</Characters>
  <CharactersWithSpaces>23926</CharactersWithSpaces>
  <Paragraphs>694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