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826005_04022026.xml.htm"/>
      <w:bookmarkStart w:id="1" w:name="ksform410826005_0402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LIF AIV 1,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FTAI Infrastructure Inc.</w:t>
              </w:r>
            </w:hyperlink>
            <w:r>
              <w:rPr/>
              <w:t xml:space="preserve"> [ </w:t>
            </w:r>
            <w:r>
              <w:rPr>
                <w:rFonts w:ascii="Times;serif" w:hAnsi="Times;serif"/>
                <w:color w:val="0000FF"/>
                <w:sz w:val="24"/>
                <w:shd w:fill="FFFFFF" w:val="clear"/>
              </w:rPr>
              <w:t>FIP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03/31/2026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3"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516"/>
        <w:gridCol w:w="285"/>
        <w:gridCol w:w="906"/>
        <w:gridCol w:w="801"/>
        <w:gridCol w:w="891"/>
        <w:gridCol w:w="981"/>
        <w:gridCol w:w="801"/>
        <w:gridCol w:w="936"/>
        <w:gridCol w:w="831"/>
        <w:gridCol w:w="906"/>
      </w:tblGrid>
      <w:tr>
        <w:trPr>
          <w:tblHeader w:val="true"/>
        </w:trPr>
        <w:tc>
          <w:tcPr>
            <w:tcW w:w="121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8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Series B Preferred Stock</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2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02/26/2025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532,146</w:t>
            </w: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(4)(5)</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LIF AIV 1,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Labor Impact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GCM Investments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Grosvenor Capital Management Holdings, LLLP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GCM Grosvenor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GCM Grosvenor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GCM 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Sacks Michael Jay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 NORTH MICHIGAN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Consists of Series B Convertible Junior Preferred Stock (the "Series B Preferred Stock") of FTAI Infrastructure Inc. (the "Issuer") held by LIF AIV 1, L.P. ("LIF AIV") and Labor Impact Fund, L.P. ("Labor Impact Fund"). Each share of Series B Preferred Stock is convertible at any time at the option of the holder into a number of shares of common stock, par value $0.01 per share ("Common Stock"), of the Issuer equal to the quotient of the Liquidation Value (as defined in the Certificate of Designations governing the Series B Preferred Stock) in effect at the time of conversion divided by the Conversion Price (each as defined in the Certificate of Designations governing the Series B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LIF AIV and Labor Impact Fund received a dividend on 160,000 shares of Series B Preferred Stock owned by LIF AIV and Labor Impact Fund on the dividend record date by way of an increase in the Stated Value of such Series B Preferred Stock. Such dividend represents a quarterly compounding regular dividend equal to 10% per annum with respect to the immediately preceding quarter in accordance with the terms of the Certificate of Designations governing the Series B Preferred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additional number of shares of Common Stock into which the Series B Preferred Stock owned by LIF AIV and Labor Impact Fund is convertible as a result of the dividend. As of the date hereof, the Series B Preferred Stock owned in the aggregate by LIF AIV and Labor Impact Fund is convertible into a total of 21,817,927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of Series B Preferred Stock reported herein are held directly by LIF AIV and Labor Impact Fund, and indirectly by: (i) GCM Investments GP, LLC ("GCM GP") as the general partner of each of LIF AIV and Labor Impact Fund; (ii) Grosvenor Capital Management Holdings, LLLP ("Grosvenor Capital Holdings") as the sole member of GCM GP; (iii) GCM Grosvenor Holdings, LLC ("GCM Holdings") as the general partner of Grosvenor Capital Holdings; (iv) GCM Grosvenor Inc. ("GCM Grosvenor") as the sole member of GCM Holdings; (v) GCM V, LLC ("GCM V") as a shareholder of GCM Grosvenor; and (vi) Michael J. Sacks, as the manager of GCM V (collectively, the "Reporting Persons").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Reporting Persons disclaims beneficial ownership of the shares of Common Stock underlying the Series B Preferred Stock except to the extent of its or his pecuniary interest therein, and this report shall not be deemed to be an admission that any Reporting Person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may be deemed to be directors by deputization for purposes of Section 16 under the Securities Exchange Act of 1934 by virtue of the fact that Matthew Rinklin, an employee of GCM Grosvenor L.P., an affiliate of the Reporting Persons, currently serves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LIF AIV 1, L.P., By: GCM Investments GP, LLC, its general partner,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Labor Impact Fund, L.P., By: GCM Investments GP, LLC, its general partner,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Investments GP,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Grosvenor Capital Management Holdings, LLLP, By: GCM Grosvenor Holdings, LLC, its general partner,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Grosvenor Holdings,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Grosvenor Inc.,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GCM V, LLC, By: /s/ Burke J. Montgomery,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J. Sacks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029" TargetMode="External"/><Relationship Id="rId5" Type="http://schemas.openxmlformats.org/officeDocument/2006/relationships/hyperlink" Target="http://www.sec.gov/cgi-bin/browse-edgar?action=getcompany&amp;CIK=00018998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2023029" TargetMode="External"/><Relationship Id="rId10" Type="http://schemas.openxmlformats.org/officeDocument/2006/relationships/hyperlink" Target="http://www.sec.gov/cgi-bin/browse-edgar?action=getcompany&amp;CIK=0001751369" TargetMode="External"/><Relationship Id="rId11" Type="http://schemas.openxmlformats.org/officeDocument/2006/relationships/hyperlink" Target="http://www.sec.gov/cgi-bin/browse-edgar?action=getcompany&amp;CIK=0001743984" TargetMode="External"/><Relationship Id="rId12" Type="http://schemas.openxmlformats.org/officeDocument/2006/relationships/hyperlink" Target="http://www.sec.gov/cgi-bin/browse-edgar?action=getcompany&amp;CIK=0001743986" TargetMode="External"/><Relationship Id="rId13" Type="http://schemas.openxmlformats.org/officeDocument/2006/relationships/hyperlink" Target="http://www.sec.gov/cgi-bin/browse-edgar?action=getcompany&amp;CIK=0001939480" TargetMode="External"/><Relationship Id="rId14" Type="http://schemas.openxmlformats.org/officeDocument/2006/relationships/hyperlink" Target="http://www.sec.gov/cgi-bin/browse-edgar?action=getcompany&amp;CIK=0001819796" TargetMode="External"/><Relationship Id="rId15" Type="http://schemas.openxmlformats.org/officeDocument/2006/relationships/hyperlink" Target="http://www.sec.gov/cgi-bin/browse-edgar?action=getcompany&amp;CIK=0001831172" TargetMode="External"/><Relationship Id="rId16" Type="http://schemas.openxmlformats.org/officeDocument/2006/relationships/hyperlink" Target="http://www.sec.gov/cgi-bin/browse-edgar?action=getcompany&amp;CIK=0001509764"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1388</Words>
  <Characters>7336</Characters>
  <CharactersWithSpaces>8542</CharactersWithSpaces>
  <Paragraphs>233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